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2AB9C" w14:textId="77777777" w:rsidR="00A42869" w:rsidRPr="00EB0FE3" w:rsidRDefault="00A42869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sz w:val="24"/>
          <w:szCs w:val="24"/>
        </w:rPr>
        <w:t xml:space="preserve">Forrás : 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623/2002. számú polgári elvi </w:t>
      </w:r>
      <w:proofErr w:type="spellStart"/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határozat</w:t>
      </w:r>
      <w:r w:rsidR="00125C9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_hatályosítva</w:t>
      </w:r>
      <w:proofErr w:type="spellEnd"/>
    </w:p>
    <w:p w14:paraId="2BEE54B8" w14:textId="77777777" w:rsidR="008A5D36" w:rsidRPr="00EB0FE3" w:rsidRDefault="008A5D36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</w:p>
    <w:p w14:paraId="7134D089" w14:textId="77777777" w:rsidR="008A5D36" w:rsidRPr="00EB0FE3" w:rsidRDefault="00EB0FE3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hyperlink r:id="rId7" w:history="1">
        <w:r w:rsidR="008A5D36" w:rsidRPr="00EB0FE3">
          <w:rPr>
            <w:rStyle w:val="Hiperhivatkozs"/>
            <w:sz w:val="24"/>
            <w:szCs w:val="24"/>
          </w:rPr>
          <w:t>https://kuria-birosag.hu/en/elvhat/6232002-szamu-polgari-elvi-hatarozat</w:t>
        </w:r>
      </w:hyperlink>
    </w:p>
    <w:p w14:paraId="123112BB" w14:textId="77777777" w:rsidR="00A42869" w:rsidRPr="00EB0FE3" w:rsidRDefault="00A42869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</w:p>
    <w:p w14:paraId="7FA84641" w14:textId="77777777" w:rsidR="009A1AFA" w:rsidRPr="00EB0FE3" w:rsidRDefault="00A42869" w:rsidP="009A1AFA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A tananyag eddigi részei már áttekintést adtak a polgári jogi szabályozás személyeket érintő kérdéskörei</w:t>
      </w:r>
      <w:r w:rsidR="003A1CB3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rő</w:t>
      </w:r>
      <w:r w:rsidR="009A1AFA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l, így a polgári jog</w:t>
      </w:r>
      <w:r w:rsidR="003A1CB3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alanyainak fajtáiról, a jogképesség illetve a cselekvőképesség fogalmairól.</w:t>
      </w:r>
      <w:r w:rsidR="009A1AFA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 most ismertetésre kerülő jogeset ezeket az ismereteket kívánja elmélyíteni és feltárni, milyen hatással lehet a cselekvőképesség hiánya egy-egy jogügylet későbbi kimenetelére.</w:t>
      </w:r>
    </w:p>
    <w:p w14:paraId="759C1FE6" w14:textId="77777777" w:rsidR="009A1AFA" w:rsidRPr="00EB0FE3" w:rsidRDefault="009A1AFA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Kezdjük néhány gondolatébresztő kérdéssel!</w:t>
      </w:r>
    </w:p>
    <w:p w14:paraId="0180B72A" w14:textId="77777777" w:rsidR="009A1AFA" w:rsidRPr="00EB0FE3" w:rsidRDefault="009A1AFA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Vajon Hogyan értékeli a bíróság azokat az eseteket, amikor csak néhány hónap híján nagykorú fiatal köt nagy értékű szerződést? Súlyos jogkövetkezménye van annak, ha a már majdnem nagykorú 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személy 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megfontolt döntéseit csak a szülő (mint törvényes képviselő) hagyja jóvá, és mellőzi a család gyámhivatali hozzájárulás megszerzésével járó 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fárasztó 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formális ügyintézést?</w:t>
      </w:r>
    </w:p>
    <w:p w14:paraId="41FF7C6E" w14:textId="77777777" w:rsidR="009A1AFA" w:rsidRPr="00EB0FE3" w:rsidRDefault="009A1AFA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</w:p>
    <w:p w14:paraId="01556E51" w14:textId="77777777" w:rsidR="003A1CB3" w:rsidRPr="00EB0FE3" w:rsidRDefault="003A1CB3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Történetünk főszereplője egy 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17 éves fiatalember „Gergő”, aki nyereményjátékon egy szuper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, új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gépkocsit nyer. Az autót nem kívánja megtartani, ezért édesanyja bíztatására és hozzájárulásával eladja azt a csalá</w:t>
      </w:r>
      <w:r w:rsidR="00697F6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d érdekeltségébe tartozó VAT Kft-nek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(írásbeli szerződéskötés illusztráció)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. A cég pedig rövid időn belül tovább értékesíti az autót Pálnak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(írásbeli szerződéskötés illusztráció)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, aki a vásárlás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idején Gergő édesanyjának házast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ársa. Pál örül az autónak, és annak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is, hogy a megvásárlással Gergőéknek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is segíthet, akiknek jól jön a készpénz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, hisz 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mindezt 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majd Gergő továbbtanulásá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ra fordíthatják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az elkövetkezendő években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. Az autó teljes vételárának kifizetéséhez azonban Pálnak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is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</w:t>
      </w:r>
      <w:r w:rsidR="0018750E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nagy 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részben banki kölcsönért kell folyamodnia</w:t>
      </w:r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.  „</w:t>
      </w:r>
      <w:proofErr w:type="spellStart"/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LKB”Bank</w:t>
      </w:r>
      <w:proofErr w:type="spellEnd"/>
      <w:r w:rsidR="00434A8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azonban gyors folyósítással segít a vásárlás lebonyolításában</w:t>
      </w:r>
      <w:r w:rsidR="00870038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.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 következő hónapokban </w:t>
      </w:r>
      <w:r w:rsidR="004C26C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 család nehézségekkel szembesül, és pár héttel azután, hogy Gergő betölti a 18. életévét  édesanyja és Pál </w:t>
      </w:r>
      <w:r w:rsidR="0018750E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úgy döntenek</w:t>
      </w:r>
      <w:r w:rsidR="004C26C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elválnak</w:t>
      </w:r>
      <w:r w:rsidR="0018750E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, és külön 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is </w:t>
      </w:r>
      <w:r w:rsidR="0018750E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költöznek</w:t>
      </w:r>
      <w:r w:rsidR="004C26C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.</w:t>
      </w:r>
      <w:r w:rsidR="0018750E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Házasságukat nem sokkal később a bíróság hivatalosan is felbontja.</w:t>
      </w:r>
    </w:p>
    <w:p w14:paraId="4575DD03" w14:textId="77777777" w:rsidR="0018750E" w:rsidRPr="00EB0FE3" w:rsidRDefault="0018750E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</w:p>
    <w:p w14:paraId="55AC8FC9" w14:textId="77777777" w:rsidR="00185EFB" w:rsidRPr="00EB0FE3" w:rsidRDefault="0018750E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Pál ezt követően nem fizeti az autó törlesztőrészleteit, Gergő pedig pert indít az eladott autó tulajdonba visszaadása érdekében. </w:t>
      </w:r>
    </w:p>
    <w:p w14:paraId="5814F333" w14:textId="77777777" w:rsidR="0018750E" w:rsidRPr="00EB0FE3" w:rsidRDefault="0018750E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Tekintsük át </w:t>
      </w:r>
      <w:r w:rsidR="00185EF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mely </w:t>
      </w:r>
      <w:proofErr w:type="spellStart"/>
      <w:r w:rsidR="00185EF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Ptk-beli</w:t>
      </w:r>
      <w:proofErr w:type="spellEnd"/>
      <w:r w:rsidR="00185EF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szabályok közé illeszkedik 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Gergő</w:t>
      </w:r>
      <w:r w:rsidR="00185EF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esete!</w:t>
      </w:r>
    </w:p>
    <w:p w14:paraId="36C2DBEC" w14:textId="77777777" w:rsidR="0018750E" w:rsidRPr="00EB0FE3" w:rsidRDefault="0018750E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</w:p>
    <w:p w14:paraId="6C7BB1E4" w14:textId="77777777" w:rsidR="0018750E" w:rsidRPr="00EB0FE3" w:rsidRDefault="0018750E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A Ptk. Második Könyv 12.§-</w:t>
      </w:r>
      <w:proofErr w:type="spellStart"/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ának</w:t>
      </w:r>
      <w:proofErr w:type="spellEnd"/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(1)bekezdése, mint főszabály arról rendelkezik, hogy: </w:t>
      </w:r>
      <w:r w:rsidRPr="00EB0FE3"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  <w:t>A korlátozottan cselekvőképes kiskorú jognyilatkozatának érvényességéhez - ha e törvény eltérően nem rendelkezik - törvényes képviselőjének hozzájárulása szükséges.</w:t>
      </w:r>
    </w:p>
    <w:p w14:paraId="60646AC4" w14:textId="77777777" w:rsidR="0018750E" w:rsidRPr="00EB0FE3" w:rsidRDefault="0018750E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Sőt azt is kimondja, hogy: </w:t>
      </w:r>
      <w:r w:rsidRPr="00EB0FE3"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  <w:t>Ha a korlátozottan cselekvőképes kiskorú cselekvőképessé válik, maga dönt függő jognyilatkozatainak érvényességéről.</w:t>
      </w:r>
    </w:p>
    <w:p w14:paraId="0760D39F" w14:textId="77777777" w:rsidR="004C26CC" w:rsidRPr="00EB0FE3" w:rsidRDefault="00444F82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Ugyanezen paragrafus (2) bekezdésében, pedig felsorolja a törvény azokat az ügyleteket</w:t>
      </w:r>
      <w:r w:rsidRPr="00EB0FE3"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  <w:t xml:space="preserve">,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amit a még nem nagykorú korlátozottan cselekvőképes személy a törvényes képviselője (legtöbbször szülője) hozzájárulása nélkül is megtehet</w:t>
      </w:r>
      <w:r w:rsidRPr="00EB0FE3"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  <w:t>. Pl. köthet olyan szerződéseket, amelyekkel kizárólag előnyt szerez vagy rendelkezhet munkával szerzett jövedelmével, hisz 16 éves korától akár már munkát is vállalhat.</w:t>
      </w:r>
    </w:p>
    <w:p w14:paraId="28A33C40" w14:textId="77777777" w:rsidR="00444F82" w:rsidRPr="00EB0FE3" w:rsidRDefault="00444F82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Van azonban egy szabály, ami Gergő esetében még fontos. Ez pedig a 15.§, ami azokat az esetköröket sorolja föl, amely esetekben </w:t>
      </w:r>
      <w:r w:rsidR="00185EF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a törvényes képviselő jóváhagyása mellett,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a gyámhatóság jóváhagyása is szükséges. </w:t>
      </w:r>
      <w:r w:rsidR="00AA5413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Ebbe a felsorolásba tartozik </w:t>
      </w:r>
      <w:r w:rsidR="00AA5413" w:rsidRPr="00EB0FE3">
        <w:rPr>
          <w:rFonts w:asciiTheme="majorHAnsi" w:hAnsiTheme="majorHAnsi" w:cstheme="majorHAnsi"/>
          <w:b w:val="0"/>
          <w:bCs w:val="0"/>
          <w:color w:val="FF0000"/>
          <w:sz w:val="24"/>
          <w:szCs w:val="24"/>
        </w:rPr>
        <w:t xml:space="preserve">a kiskorú jogszabályban meghatározott összeget meghaladó értékű vagyontárgyáról való rendelkezés </w:t>
      </w:r>
      <w:r w:rsidR="00AA5413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esete.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</w:t>
      </w:r>
    </w:p>
    <w:p w14:paraId="194B33A7" w14:textId="77777777" w:rsidR="004427DB" w:rsidRPr="00EB0FE3" w:rsidRDefault="00185EFB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Világos tehát, hogy mivel Gergő esetében egy több millió forintot érő autóról van szó, jogg</w:t>
      </w:r>
      <w:r w:rsidR="00271CA3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al érezheti úgy, hogy a bíróság figyelembe fogja venni a szerződés létrehozásával összefü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ggő hibás eljárás</w:t>
      </w:r>
      <w:r w:rsidR="00271CA3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következményeit. </w:t>
      </w:r>
    </w:p>
    <w:p w14:paraId="75093D52" w14:textId="77777777" w:rsidR="004427DB" w:rsidRPr="00EB0FE3" w:rsidRDefault="004427DB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</w:p>
    <w:p w14:paraId="7E8260B5" w14:textId="77777777" w:rsidR="00271CA3" w:rsidRPr="00EB0FE3" w:rsidRDefault="00271CA3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Az első fokú bíróság ítéletével meg is állapítja, hogy a perbeli gépkocsi tulajdonjogot érintő korlátozástól (elidegenítési, terhelési tilalom, vételi jog) mentesen képezi Gergő tulajdonát, és rendelkezik a visszaadásról. Az első fok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ú bíróság ugyanis úgy értelmezi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 helyzetet, hogy Gergő, illetve édesanyja jognyilatkozatai a gyámhatóság jóváhagyásának hiányában érvénytelenek. E jognyilatkozatokkal összefüggésben érvényesen létr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e nem jött szerződésekből VAT Kft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, mint kereskedő sem bizományosi, sem eladói jogosultságot nem származtathat,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egyébként pedig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 cég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lehetetlen szolgáltatást vállalt</w:t>
      </w:r>
      <w:r w:rsidR="00C8141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, amikor a személygépkocsit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Pálnak 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eladta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. </w:t>
      </w:r>
    </w:p>
    <w:p w14:paraId="6AC4EB93" w14:textId="77777777" w:rsidR="004427DB" w:rsidRPr="00EB0FE3" w:rsidRDefault="004427DB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</w:p>
    <w:p w14:paraId="1F8E4EEE" w14:textId="77777777" w:rsidR="00836FF6" w:rsidRPr="00EB0FE3" w:rsidRDefault="00C8141B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Az ügy </w:t>
      </w:r>
      <w:r w:rsidR="00271CA3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másodfokra kerül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. A másodfokú bíró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ság azonban más alapon vizsgálja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az autó eladásával összefüggő érvénytelenség kérdését, és az elsőfokú ítéletet 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megváltoztatja és Gergő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szerződések érvénytelenségének megállapítására és az eredeti állapot helyreállítására irányult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keresetét elutasítja. A másodf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okú bíróság ugyanis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azt vette figyelembe, hogy az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adásvételre Gergő nagykorúságának elérése előtt mintegy három hónappal került sor, ugyanakkor Gergő csak nagykorúságának elérését követően hat hónappal később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indított pert egykori nyilatkozata megtámadása ügyében.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Figyelemmel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az addig eltelt időre, valamint ar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ra a körülményre, hogy Gergő édesanyja és Pál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házastársi életközössége már 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hónapokkal a perindítás előtt megszakadt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,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 bíróság szerint Gergőnek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legkésőbb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akkor pert kellett volna indítania, amikor Pál a családtól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elköltöz</w:t>
      </w:r>
      <w:r w:rsidR="00836FF6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ött. </w:t>
      </w:r>
      <w:r w:rsidR="00697F6C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Mivel ezt nem tette , magatartásával Gergő a szerződés megerősítését juttatta kifejezésre.</w:t>
      </w:r>
    </w:p>
    <w:p w14:paraId="3176C2EC" w14:textId="77777777" w:rsidR="004427DB" w:rsidRPr="00EB0FE3" w:rsidRDefault="004427DB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</w:p>
    <w:p w14:paraId="3420B5FF" w14:textId="77777777" w:rsidR="00836FF6" w:rsidRPr="00EB0FE3" w:rsidRDefault="00836FF6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Gergő meglepően tapasztalta, hogy az elsőfokú</w:t>
      </w:r>
      <w:r w:rsidR="00EF7E28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bíróság érveihez képest, amely a gyámhatósági hozzájárulás hiányát semmisségként értékelte és határidő nélkül lehetővé tette az érvénytelenségre való hivatkozást, a másodfokú bíróság már az érvénytelenség másik formája, a megtámadhatóság mellett </w:t>
      </w:r>
      <w:r w:rsidR="00697F6C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érvelt. És a perindítás késedelme miatt</w:t>
      </w:r>
      <w:r w:rsidR="00EF7E28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</w:t>
      </w:r>
      <w:r w:rsidR="00697F6C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Gergő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 magatartását sikertelen megtámadásnak, egyúttal ráutaló magatartással történő szerződés megerősítésének titulálta</w:t>
      </w:r>
      <w:r w:rsidR="00EF7E28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. </w:t>
      </w:r>
    </w:p>
    <w:p w14:paraId="65F2BE71" w14:textId="77777777" w:rsidR="004427DB" w:rsidRPr="00EB0FE3" w:rsidRDefault="004427DB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</w:p>
    <w:p w14:paraId="2C80E7D8" w14:textId="77777777" w:rsidR="00EF7E28" w:rsidRPr="00EB0FE3" w:rsidRDefault="00EF7E28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Az ügy végül felülvizsgálati eljárásra kerül, amely egy különleges jogorvoslati eljárás, és csak olyan rendkívüli esetekben kezdeményezhető, mint amikor pl. a másodfokú bíróság jogerős ítélete </w:t>
      </w:r>
      <w:r w:rsidR="004427DB"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feltételezhetően </w:t>
      </w: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 xml:space="preserve">jogszabálysértő. </w:t>
      </w:r>
    </w:p>
    <w:p w14:paraId="684B076F" w14:textId="77777777" w:rsidR="004C26CC" w:rsidRPr="00EB0FE3" w:rsidRDefault="00EF7E28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sz w:val="24"/>
          <w:szCs w:val="24"/>
        </w:rPr>
        <w:t>A legfelsőbb fórumon hozott elvi határozat végül arra jutott, hogy Gergő</w:t>
      </w:r>
      <w:r w:rsidR="004C26C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helytállóan hivatkozik arra, hogy 18. életévének betöltése előtt jelentős értékre vonatkozó jognyilatkozat esetében a törvényes képviselő jognyilatkozatának érvényességéhez gyámhatósági jóváhagyás szükséges</w:t>
      </w:r>
      <w:r w:rsidR="00125C9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, és tény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, hogy</w:t>
      </w:r>
      <w:r w:rsidR="00697F6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törvényes képv</w:t>
      </w:r>
      <w:r w:rsidR="00697F6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iselője hozzájárulása mellett VAT Kft-vel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megkötött adásvételi szerződés idején nem került sor ilyen hatósági jóváhagyás beszerzésére. Ennek hiányában az adásvételi szerződés létrejötte</w:t>
      </w:r>
      <w:r w:rsidR="00697F6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pedig a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g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yámhatósági jóváhagyástól függ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. A jóváhagyás 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szükségessége azonban Gergő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18. életévének betöltés</w:t>
      </w:r>
      <w:r w:rsidR="00697F6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ével megszűnt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, </w:t>
      </w:r>
      <w:r w:rsidR="00697F6C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s Gergő 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maga dönthetett függő jognyilatkozatainak érvényessége felől. Nem tévedett a másodfokú bíróság, amikor a kereset előterjesztésével kapcsolatos jelentős időmúlást a szerződés létrejöttének megerősítésére ráutaló magatartásként értékelte, azaz akként, hogy a felperes az adásvétellel kapcsolatos jognyilatkozatait érvényesnek te</w:t>
      </w:r>
      <w:r w:rsidR="00125C97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kintette.</w:t>
      </w:r>
    </w:p>
    <w:p w14:paraId="21690F7C" w14:textId="77777777" w:rsidR="00125C97" w:rsidRPr="00EB0FE3" w:rsidRDefault="00125C97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Az érvénytelenség formájának Gergő ügyére való alkalmazásával kapcsolatban a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zonban a felülvizsgálat arra is felhívta a figyelmet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, hogy téves</w:t>
      </w:r>
      <w:r w:rsidR="00501B44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ek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 szerződés semmisségére, és megtámad</w:t>
      </w:r>
      <w:r w:rsidR="004427DB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ás</w:t>
      </w:r>
      <w:r w:rsidR="00501B44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határidejére alapított érvek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. Ugyanis a hatósági jóváhagyás elmaradása nem teszi semmissé a szerződést és nem is kell a szerződést határidőn belül megtámadni, mivel ilyenkor az érvénytelenség jogkövetkezményeit kellene alkalmazni, amire végül</w:t>
      </w:r>
      <w:r w:rsidR="00501B44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azért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 nem volt </w:t>
      </w:r>
      <w:r w:rsidR="00501B44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tulajdonképpen </w:t>
      </w: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szükség</w:t>
      </w:r>
      <w:r w:rsidR="00501B44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>, mert Gergő késedelmes perindítása ráutaló magatartásként erősítette meg a szerződésfenntartás szándékát.</w:t>
      </w:r>
    </w:p>
    <w:p w14:paraId="5683B993" w14:textId="77777777" w:rsidR="00434A87" w:rsidRPr="00EB0FE3" w:rsidRDefault="00434A87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</w:p>
    <w:p w14:paraId="167318B8" w14:textId="77777777" w:rsidR="003A1CB3" w:rsidRPr="00EB0FE3" w:rsidRDefault="008A5D36" w:rsidP="00A42869">
      <w:pPr>
        <w:pStyle w:val="Cmsor1"/>
        <w:spacing w:before="0" w:beforeAutospacing="0" w:after="0" w:afterAutospacing="0" w:line="264" w:lineRule="atLeast"/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</w:pPr>
      <w:r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Érdemes ezen jogeset okán elgondolkozni azon, hogy az ügy alapján levezetett jogi érvelés hogyan lehet segítségünkre az üzleti életben előforduló olyan esetekben, amikor a jogi kockázat, vagy éppen egy függő jogi helyzet áll elő. </w:t>
      </w:r>
      <w:r w:rsidR="0021474E" w:rsidRPr="00EB0FE3">
        <w:rPr>
          <w:rFonts w:asciiTheme="majorHAnsi" w:hAnsiTheme="majorHAnsi" w:cstheme="majorHAnsi"/>
          <w:b w:val="0"/>
          <w:bCs w:val="0"/>
          <w:color w:val="000000"/>
          <w:sz w:val="24"/>
          <w:szCs w:val="24"/>
        </w:rPr>
        <w:t xml:space="preserve">Nem példanélküli, hogy a hipermarketek polcain, illetve a webáruházak kínálatában megjelenő több százezres elektronikai cikkeket a kiskorúak akár szülői engedély nélkül is megvásárolják., némi használatot követően pedig akár tovább is értékesítik internetes fórumokon. Kínálati oldalról a vállalkozások igyekeznek ezért ÁSZF szabályokkal korlátozni felelősségüket. (Olvasmány) </w:t>
      </w:r>
      <w:hyperlink r:id="rId8" w:history="1">
        <w:r w:rsidR="0021474E" w:rsidRPr="00EB0FE3">
          <w:rPr>
            <w:rStyle w:val="Hiperhivatkozs"/>
            <w:sz w:val="24"/>
            <w:szCs w:val="24"/>
          </w:rPr>
          <w:t>https://abcug.hu/gyerekek-vernek-el-szazezreket-kutyure-tilos-de-kit-erdekel/</w:t>
        </w:r>
      </w:hyperlink>
    </w:p>
    <w:p w14:paraId="5887F5ED" w14:textId="77777777" w:rsidR="00167B8B" w:rsidRPr="00EB0FE3" w:rsidRDefault="00167B8B">
      <w:pPr>
        <w:rPr>
          <w:sz w:val="24"/>
          <w:szCs w:val="24"/>
        </w:rPr>
      </w:pPr>
    </w:p>
    <w:sectPr w:rsidR="00167B8B" w:rsidRPr="00EB0FE3" w:rsidSect="00EB0F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197"/>
    <w:rsid w:val="00125C97"/>
    <w:rsid w:val="00167B8B"/>
    <w:rsid w:val="00185EFB"/>
    <w:rsid w:val="0018750E"/>
    <w:rsid w:val="00200197"/>
    <w:rsid w:val="0021474E"/>
    <w:rsid w:val="00271CA3"/>
    <w:rsid w:val="003A1CB3"/>
    <w:rsid w:val="00434A87"/>
    <w:rsid w:val="004427DB"/>
    <w:rsid w:val="00444F82"/>
    <w:rsid w:val="004C26CC"/>
    <w:rsid w:val="00501B44"/>
    <w:rsid w:val="00697F6C"/>
    <w:rsid w:val="00836FF6"/>
    <w:rsid w:val="00870038"/>
    <w:rsid w:val="008A5D36"/>
    <w:rsid w:val="009A1AFA"/>
    <w:rsid w:val="00A42869"/>
    <w:rsid w:val="00AA5413"/>
    <w:rsid w:val="00C8141B"/>
    <w:rsid w:val="00EB0FE3"/>
    <w:rsid w:val="00E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4C259"/>
  <w15:chartTrackingRefBased/>
  <w15:docId w15:val="{C25BFE88-4C23-4250-8287-CA38DD6A5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A42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4286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8A5D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04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cug.hu/gyerekek-vernek-el-szazezreket-kutyure-tilos-de-kit-erdekel/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kuria-birosag.hu/en/elvhat/6232002-szamu-polgari-elvi-hataroza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DBE0688B0A5224D997E76E526AFAA32" ma:contentTypeVersion="24" ma:contentTypeDescription="Új dokumentum létrehozása." ma:contentTypeScope="" ma:versionID="e8fd1a6c1317128af624e2a8be5c733f">
  <xsd:schema xmlns:xsd="http://www.w3.org/2001/XMLSchema" xmlns:xs="http://www.w3.org/2001/XMLSchema" xmlns:p="http://schemas.microsoft.com/office/2006/metadata/properties" xmlns:ns3="4a53bce8-ee39-4c2c-8253-74ff71b54072" xmlns:ns4="cdd061f2-1996-4775-bdd9-60dd9b3a3d76" targetNamespace="http://schemas.microsoft.com/office/2006/metadata/properties" ma:root="true" ma:fieldsID="410e466112c094100900d9a591fe3f63" ns3:_="" ns4:_="">
    <xsd:import namespace="4a53bce8-ee39-4c2c-8253-74ff71b54072"/>
    <xsd:import namespace="cdd061f2-1996-4775-bdd9-60dd9b3a3d7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4:SharedWithDetails" minOccurs="0"/>
                <xsd:element ref="ns4:SharedWithUsers" minOccurs="0"/>
                <xsd:element ref="ns4:SharingHintHash" minOccurs="0"/>
                <xsd:element ref="ns4:LastSharedByUser" minOccurs="0"/>
                <xsd:element ref="ns4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3bce8-ee39-4c2c-8253-74ff71b54072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061f2-1996-4775-bdd9-60dd9b3a3d76" elementFormDefault="qualified">
    <xsd:import namespace="http://schemas.microsoft.com/office/2006/documentManagement/types"/>
    <xsd:import namespace="http://schemas.microsoft.com/office/infopath/2007/PartnerControls"/>
    <xsd:element name="SharedWithDetails" ma:index="1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2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21" nillable="true" ma:displayName="Megosztási tipp kivonata" ma:description="" ma:hidden="true" ma:internalName="SharingHintHash" ma:readOnly="true">
      <xsd:simpleType>
        <xsd:restriction base="dms:Text"/>
      </xsd:simpleType>
    </xsd:element>
    <xsd:element name="LastSharedByUser" ma:index="22" nillable="true" ma:displayName="Utoljára megosztva felhasználók szerint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Utoljára megosztva időpontok szerint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4a53bce8-ee39-4c2c-8253-74ff71b54072" xsi:nil="true"/>
    <FolderType xmlns="4a53bce8-ee39-4c2c-8253-74ff71b54072" xsi:nil="true"/>
    <Owner xmlns="4a53bce8-ee39-4c2c-8253-74ff71b54072">
      <UserInfo>
        <DisplayName/>
        <AccountId xsi:nil="true"/>
        <AccountType/>
      </UserInfo>
    </Owner>
    <Invited_Students xmlns="4a53bce8-ee39-4c2c-8253-74ff71b54072" xsi:nil="true"/>
    <Teachers xmlns="4a53bce8-ee39-4c2c-8253-74ff71b54072">
      <UserInfo>
        <DisplayName/>
        <AccountId xsi:nil="true"/>
        <AccountType/>
      </UserInfo>
    </Teachers>
    <Students xmlns="4a53bce8-ee39-4c2c-8253-74ff71b54072">
      <UserInfo>
        <DisplayName/>
        <AccountId xsi:nil="true"/>
        <AccountType/>
      </UserInfo>
    </Students>
    <Student_Groups xmlns="4a53bce8-ee39-4c2c-8253-74ff71b54072">
      <UserInfo>
        <DisplayName/>
        <AccountId xsi:nil="true"/>
        <AccountType/>
      </UserInfo>
    </Student_Groups>
    <AppVersion xmlns="4a53bce8-ee39-4c2c-8253-74ff71b54072" xsi:nil="true"/>
    <DefaultSectionNames xmlns="4a53bce8-ee39-4c2c-8253-74ff71b54072" xsi:nil="true"/>
    <Self_Registration_Enabled xmlns="4a53bce8-ee39-4c2c-8253-74ff71b54072" xsi:nil="true"/>
    <Invited_Teachers xmlns="4a53bce8-ee39-4c2c-8253-74ff71b54072" xsi:nil="true"/>
  </documentManagement>
</p:properties>
</file>

<file path=customXml/itemProps1.xml><?xml version="1.0" encoding="utf-8"?>
<ds:datastoreItem xmlns:ds="http://schemas.openxmlformats.org/officeDocument/2006/customXml" ds:itemID="{7BEB0A91-9FDD-46C9-BEEB-D47C52470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53bce8-ee39-4c2c-8253-74ff71b54072"/>
    <ds:schemaRef ds:uri="cdd061f2-1996-4775-bdd9-60dd9b3a3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0A21A3-AA11-4074-BE85-667E79F461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9B4120-3AF4-4398-8FAC-392C1046224E}">
  <ds:schemaRefs>
    <ds:schemaRef ds:uri="http://schemas.microsoft.com/office/2006/metadata/properties"/>
    <ds:schemaRef ds:uri="http://schemas.microsoft.com/office/infopath/2007/PartnerControls"/>
    <ds:schemaRef ds:uri="4a53bce8-ee39-4c2c-8253-74ff71b540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1122</Words>
  <Characters>7070</Characters>
  <Application>Microsoft Office Word</Application>
  <DocSecurity>4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Oktató</dc:creator>
  <cp:keywords/>
  <dc:description/>
  <cp:lastModifiedBy>Dr. Virágh Árpád</cp:lastModifiedBy>
  <cp:revision>2</cp:revision>
  <dcterms:created xsi:type="dcterms:W3CDTF">2020-07-17T07:36:00Z</dcterms:created>
  <dcterms:modified xsi:type="dcterms:W3CDTF">2020-07-17T07:36:00Z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0x0101008DBE0688B0A5224D997E76E526AFAA32</vt:lpwstr>
  </property>
</Properties>
</file>